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78E80">
      <w:pPr>
        <w:autoSpaceDE/>
        <w:autoSpaceDN/>
        <w:snapToGrid w:val="0"/>
        <w:spacing w:line="600" w:lineRule="exact"/>
        <w:jc w:val="center"/>
        <w:rPr>
          <w:rFonts w:ascii="方正小标宋_GBK" w:hAnsi="方正小标宋_GBK" w:eastAsia="方正小标宋_GBK" w:cs="方正小标宋_GBK"/>
          <w:color w:val="000000"/>
          <w:kern w:val="2"/>
          <w:sz w:val="44"/>
          <w:szCs w:val="44"/>
          <w:lang w:val="en-US" w:bidi="ar-SA"/>
        </w:rPr>
      </w:pPr>
      <w:r>
        <w:rPr>
          <w:rFonts w:hint="eastAsia" w:ascii="方正小标宋_GBK" w:hAnsi="方正小标宋_GBK" w:eastAsia="方正小标宋_GBK" w:cs="方正小标宋_GBK"/>
          <w:color w:val="000000"/>
          <w:kern w:val="2"/>
          <w:sz w:val="44"/>
          <w:szCs w:val="44"/>
          <w:lang w:bidi="ar-SA"/>
        </w:rPr>
        <w:t>202</w:t>
      </w:r>
      <w:r>
        <w:rPr>
          <w:rFonts w:hint="eastAsia" w:ascii="方正小标宋_GBK" w:hAnsi="方正小标宋_GBK" w:eastAsia="方正小标宋_GBK" w:cs="方正小标宋_GBK"/>
          <w:color w:val="000000"/>
          <w:kern w:val="2"/>
          <w:sz w:val="44"/>
          <w:szCs w:val="44"/>
          <w:lang w:val="en-US" w:bidi="ar-SA"/>
        </w:rPr>
        <w:t>5年海安市手提式灭火器产品质量监督抽查</w:t>
      </w:r>
    </w:p>
    <w:p w14:paraId="2C4EB912">
      <w:pPr>
        <w:autoSpaceDE/>
        <w:autoSpaceDN/>
        <w:snapToGrid w:val="0"/>
        <w:spacing w:line="600" w:lineRule="exact"/>
        <w:jc w:val="center"/>
        <w:rPr>
          <w:rFonts w:ascii="方正小标宋_GBK" w:hAnsi="方正小标宋_GBK" w:eastAsia="方正小标宋_GBK" w:cs="方正小标宋_GBK"/>
          <w:kern w:val="2"/>
          <w:sz w:val="44"/>
          <w:szCs w:val="44"/>
          <w:lang w:val="en-US" w:bidi="ar-SA"/>
        </w:rPr>
      </w:pPr>
      <w:r>
        <w:rPr>
          <w:rFonts w:hint="eastAsia" w:ascii="方正小标宋_GBK" w:hAnsi="方正小标宋_GBK" w:eastAsia="方正小标宋_GBK" w:cs="方正小标宋_GBK"/>
          <w:color w:val="000000"/>
          <w:kern w:val="2"/>
          <w:sz w:val="44"/>
          <w:szCs w:val="44"/>
          <w:lang w:val="en-US" w:bidi="ar-SA"/>
        </w:rPr>
        <w:t>实施细则</w:t>
      </w:r>
    </w:p>
    <w:p w14:paraId="2AA740FD">
      <w:pPr>
        <w:autoSpaceDE/>
        <w:autoSpaceDN/>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1.范围</w:t>
      </w:r>
    </w:p>
    <w:p w14:paraId="331EE4E9">
      <w:pPr>
        <w:autoSpaceDE/>
        <w:autoSpaceDN/>
        <w:spacing w:line="600" w:lineRule="exact"/>
        <w:ind w:firstLine="640" w:firstLineChars="200"/>
        <w:jc w:val="both"/>
        <w:rPr>
          <w:rFonts w:ascii="仿宋_GB2312" w:hAnsi="仿宋_GB2312" w:eastAsia="仿宋_GB2312" w:cs="仿宋_GB2312"/>
          <w:kern w:val="2"/>
          <w:sz w:val="32"/>
          <w:szCs w:val="32"/>
          <w:lang w:val="en-US" w:bidi="ar-SA"/>
        </w:rPr>
      </w:pPr>
      <w:r>
        <w:rPr>
          <w:rFonts w:hint="eastAsia" w:ascii="仿宋_GB2312" w:hAnsi="仿宋_GB2312" w:eastAsia="仿宋_GB2312" w:cs="仿宋_GB2312"/>
          <w:kern w:val="2"/>
          <w:sz w:val="32"/>
          <w:szCs w:val="32"/>
          <w:lang w:val="en-US" w:bidi="ar-SA"/>
        </w:rPr>
        <w:t>本细则适用于</w:t>
      </w:r>
      <w:r>
        <w:rPr>
          <w:rFonts w:hint="eastAsia" w:ascii="仿宋_GB2312" w:hAnsi="仿宋_GB2312" w:eastAsia="仿宋_GB2312" w:cs="仿宋_GB2312"/>
          <w:kern w:val="2"/>
          <w:sz w:val="32"/>
          <w:szCs w:val="32"/>
          <w:lang w:val="en-US" w:eastAsia="zh-CN" w:bidi="ar-SA"/>
        </w:rPr>
        <w:t>海安</w:t>
      </w:r>
      <w:r>
        <w:rPr>
          <w:rFonts w:hint="eastAsia" w:ascii="仿宋_GB2312" w:hAnsi="仿宋_GB2312" w:eastAsia="仿宋_GB2312" w:cs="仿宋_GB2312"/>
          <w:kern w:val="2"/>
          <w:sz w:val="32"/>
          <w:szCs w:val="32"/>
          <w:lang w:val="en-US" w:bidi="ar-SA"/>
        </w:rPr>
        <w:t>市市场监督管理局组织的手提式灭火器产品质量监督抽查。本细则规定了此产品的抽</w:t>
      </w:r>
      <w:bookmarkStart w:id="0" w:name="_GoBack"/>
      <w:bookmarkEnd w:id="0"/>
      <w:r>
        <w:rPr>
          <w:rFonts w:hint="eastAsia" w:ascii="仿宋_GB2312" w:hAnsi="仿宋_GB2312" w:eastAsia="仿宋_GB2312" w:cs="仿宋_GB2312"/>
          <w:kern w:val="2"/>
          <w:sz w:val="32"/>
          <w:szCs w:val="32"/>
          <w:lang w:val="en-US" w:bidi="ar-SA"/>
        </w:rPr>
        <w:t>样方法、检验依据、检验项目、检验方法、判定原则、异议处理及复检。</w:t>
      </w:r>
    </w:p>
    <w:p w14:paraId="174A7B0A">
      <w:pPr>
        <w:autoSpaceDE/>
        <w:autoSpaceDN/>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2.抽样方法</w:t>
      </w:r>
    </w:p>
    <w:p w14:paraId="74317286">
      <w:pPr>
        <w:autoSpaceDE/>
        <w:autoSpaceDN/>
        <w:spacing w:line="600" w:lineRule="exact"/>
        <w:ind w:firstLine="640" w:firstLineChars="200"/>
        <w:jc w:val="both"/>
        <w:rPr>
          <w:rFonts w:ascii="仿宋_GB2312" w:hAnsi="仿宋_GB2312" w:eastAsia="仿宋_GB2312" w:cs="仿宋_GB2312"/>
          <w:kern w:val="2"/>
          <w:sz w:val="32"/>
          <w:szCs w:val="32"/>
          <w:lang w:val="en-US" w:bidi="ar-SA"/>
        </w:rPr>
      </w:pPr>
      <w:r>
        <w:rPr>
          <w:rFonts w:hint="eastAsia" w:ascii="仿宋_GB2312" w:hAnsi="仿宋_GB2312" w:eastAsia="仿宋_GB2312" w:cs="仿宋_GB2312"/>
          <w:kern w:val="2"/>
          <w:sz w:val="32"/>
          <w:szCs w:val="32"/>
          <w:lang w:val="en-US" w:bidi="ar-SA"/>
        </w:rPr>
        <w:t>实体店抽样</w:t>
      </w:r>
    </w:p>
    <w:p w14:paraId="466991DF">
      <w:pPr>
        <w:autoSpaceDE/>
        <w:autoSpaceDN/>
        <w:spacing w:line="600" w:lineRule="exact"/>
        <w:ind w:firstLine="640" w:firstLineChars="200"/>
        <w:jc w:val="both"/>
        <w:rPr>
          <w:rFonts w:ascii="仿宋_GB2312" w:hAnsi="仿宋_GB2312" w:eastAsia="仿宋_GB2312" w:cs="仿宋_GB2312"/>
          <w:kern w:val="2"/>
          <w:sz w:val="32"/>
          <w:szCs w:val="32"/>
          <w:lang w:val="en-US" w:bidi="ar-SA"/>
        </w:rPr>
      </w:pPr>
      <w:r>
        <w:rPr>
          <w:rFonts w:hint="eastAsia" w:ascii="仿宋_GB2312" w:hAnsi="仿宋_GB2312" w:eastAsia="仿宋_GB2312" w:cs="仿宋_GB2312"/>
          <w:kern w:val="2"/>
          <w:sz w:val="32"/>
          <w:szCs w:val="32"/>
          <w:lang w:val="en-US" w:bidi="ar-SA"/>
        </w:rPr>
        <w:t>在受检企业的成品仓库或者其确认场所，随机抽取有产品质量检验合格证明或者其他形式表明合格的待销产品，付费购买检验样品，并索取发票等购样凭据留证。手提式灭火器产品抽样数量为4具，其中2具为检验样品，2具为备用样品，抽样基数应满足抽样要求。采样过程均需拍照留证。一经采样，立即封样，任何人不得调换。</w:t>
      </w:r>
    </w:p>
    <w:p w14:paraId="184B6D47">
      <w:pPr>
        <w:autoSpaceDE/>
        <w:autoSpaceDN/>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3.检验依据</w:t>
      </w:r>
    </w:p>
    <w:p w14:paraId="0EA7D4E1">
      <w:pPr>
        <w:autoSpaceDE/>
        <w:autoSpaceDN/>
        <w:spacing w:line="600" w:lineRule="exact"/>
        <w:ind w:firstLine="560" w:firstLineChars="200"/>
        <w:jc w:val="center"/>
        <w:rPr>
          <w:rFonts w:ascii="方正仿宋_GBK" w:hAnsi="方正仿宋_GBK" w:eastAsia="方正仿宋_GBK" w:cs="方正仿宋_GBK"/>
          <w:kern w:val="2"/>
          <w:sz w:val="28"/>
          <w:szCs w:val="28"/>
          <w:lang w:val="en-US" w:bidi="ar-SA"/>
        </w:rPr>
      </w:pPr>
      <w:r>
        <w:rPr>
          <w:rFonts w:hint="eastAsia" w:ascii="方正仿宋_GBK" w:hAnsi="方正仿宋_GBK" w:eastAsia="方正仿宋_GBK" w:cs="方正仿宋_GBK"/>
          <w:kern w:val="2"/>
          <w:sz w:val="28"/>
          <w:szCs w:val="28"/>
          <w:lang w:val="en-US" w:bidi="ar-SA"/>
        </w:rPr>
        <w:t>表1</w:t>
      </w:r>
      <w:r>
        <w:rPr>
          <w:rFonts w:hint="eastAsia" w:ascii="方正仿宋_GBK" w:hAnsi="方正仿宋_GBK" w:eastAsia="方正仿宋_GBK" w:cs="方正仿宋_GBK"/>
          <w:kern w:val="2"/>
          <w:sz w:val="28"/>
          <w:szCs w:val="28"/>
          <w:lang w:val="en-US" w:bidi="ar-SA"/>
        </w:rPr>
        <w:tab/>
      </w:r>
      <w:r>
        <w:rPr>
          <w:rFonts w:hint="eastAsia" w:ascii="方正仿宋_GBK" w:hAnsi="方正仿宋_GBK" w:eastAsia="方正仿宋_GBK" w:cs="方正仿宋_GBK"/>
          <w:kern w:val="2"/>
          <w:sz w:val="28"/>
          <w:szCs w:val="28"/>
          <w:lang w:val="en-US" w:bidi="ar-SA"/>
        </w:rPr>
        <w:t>手提式灭火器产品检验项目</w:t>
      </w:r>
    </w:p>
    <w:tbl>
      <w:tblPr>
        <w:tblStyle w:val="11"/>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266"/>
        <w:gridCol w:w="1852"/>
        <w:gridCol w:w="1723"/>
        <w:gridCol w:w="2117"/>
      </w:tblGrid>
      <w:tr w14:paraId="7664C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836" w:type="dxa"/>
            <w:vAlign w:val="center"/>
          </w:tcPr>
          <w:p w14:paraId="2D9E6AE3">
            <w:pPr>
              <w:spacing w:line="600" w:lineRule="exact"/>
              <w:jc w:val="center"/>
              <w:rPr>
                <w:rFonts w:ascii="仿宋_GB2312" w:hAnsi="仿宋_GB2312" w:eastAsia="仿宋_GB2312" w:cs="仿宋_GB2312"/>
                <w:sz w:val="24"/>
                <w:szCs w:val="28"/>
              </w:rPr>
            </w:pPr>
            <w:r>
              <w:rPr>
                <w:rFonts w:hint="eastAsia" w:ascii="仿宋_GB2312" w:hAnsi="仿宋_GB2312" w:eastAsia="仿宋_GB2312" w:cs="仿宋_GB2312"/>
                <w:sz w:val="24"/>
                <w:szCs w:val="28"/>
              </w:rPr>
              <w:t>序号</w:t>
            </w:r>
          </w:p>
        </w:tc>
        <w:tc>
          <w:tcPr>
            <w:tcW w:w="4118" w:type="dxa"/>
            <w:gridSpan w:val="2"/>
            <w:vAlign w:val="center"/>
          </w:tcPr>
          <w:p w14:paraId="35312441">
            <w:pPr>
              <w:spacing w:line="600" w:lineRule="exact"/>
              <w:jc w:val="center"/>
              <w:rPr>
                <w:rFonts w:ascii="仿宋_GB2312" w:hAnsi="仿宋_GB2312" w:eastAsia="仿宋_GB2312" w:cs="仿宋_GB2312"/>
                <w:sz w:val="24"/>
                <w:szCs w:val="28"/>
              </w:rPr>
            </w:pPr>
            <w:r>
              <w:rPr>
                <w:rFonts w:hint="eastAsia" w:ascii="仿宋_GB2312" w:hAnsi="仿宋_GB2312" w:eastAsia="仿宋_GB2312" w:cs="仿宋_GB2312"/>
                <w:sz w:val="24"/>
                <w:szCs w:val="28"/>
              </w:rPr>
              <w:t>检验检测项目</w:t>
            </w:r>
          </w:p>
        </w:tc>
        <w:tc>
          <w:tcPr>
            <w:tcW w:w="1723" w:type="dxa"/>
            <w:vAlign w:val="center"/>
          </w:tcPr>
          <w:p w14:paraId="46C777ED">
            <w:pPr>
              <w:spacing w:line="600" w:lineRule="exact"/>
              <w:jc w:val="center"/>
              <w:rPr>
                <w:rFonts w:ascii="仿宋_GB2312" w:hAnsi="仿宋_GB2312" w:eastAsia="仿宋_GB2312" w:cs="仿宋_GB2312"/>
                <w:color w:val="000000"/>
                <w:sz w:val="24"/>
                <w:szCs w:val="28"/>
              </w:rPr>
            </w:pPr>
            <w:r>
              <w:rPr>
                <w:rFonts w:hint="eastAsia" w:ascii="仿宋_GB2312" w:hAnsi="仿宋_GB2312" w:eastAsia="仿宋_GB2312" w:cs="仿宋_GB2312"/>
                <w:sz w:val="24"/>
                <w:szCs w:val="28"/>
              </w:rPr>
              <w:t>检验检测依据</w:t>
            </w:r>
          </w:p>
        </w:tc>
        <w:tc>
          <w:tcPr>
            <w:tcW w:w="2117" w:type="dxa"/>
            <w:vAlign w:val="center"/>
          </w:tcPr>
          <w:p w14:paraId="1F742318">
            <w:pPr>
              <w:spacing w:line="600" w:lineRule="exact"/>
              <w:jc w:val="center"/>
              <w:rPr>
                <w:rFonts w:ascii="仿宋_GB2312" w:hAnsi="仿宋_GB2312" w:eastAsia="仿宋_GB2312" w:cs="仿宋_GB2312"/>
                <w:sz w:val="24"/>
                <w:szCs w:val="28"/>
              </w:rPr>
            </w:pPr>
            <w:r>
              <w:rPr>
                <w:rFonts w:hint="eastAsia" w:ascii="仿宋_GB2312" w:hAnsi="仿宋_GB2312" w:eastAsia="仿宋_GB2312" w:cs="仿宋_GB2312"/>
                <w:sz w:val="24"/>
                <w:szCs w:val="28"/>
              </w:rPr>
              <w:t>检验检测方法</w:t>
            </w:r>
          </w:p>
        </w:tc>
      </w:tr>
      <w:tr w14:paraId="0E22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14:paraId="79D41E74">
            <w:pPr>
              <w:spacing w:line="600" w:lineRule="exact"/>
              <w:jc w:val="center"/>
              <w:rPr>
                <w:rFonts w:ascii="仿宋_GB2312" w:hAnsi="仿宋_GB2312" w:eastAsia="仿宋_GB2312" w:cs="仿宋_GB2312"/>
                <w:sz w:val="24"/>
                <w:szCs w:val="28"/>
              </w:rPr>
            </w:pPr>
            <w:r>
              <w:rPr>
                <w:rFonts w:hint="eastAsia" w:ascii="仿宋_GB2312" w:hAnsi="仿宋_GB2312" w:eastAsia="仿宋_GB2312" w:cs="仿宋_GB2312"/>
                <w:sz w:val="24"/>
                <w:szCs w:val="28"/>
              </w:rPr>
              <w:t>1</w:t>
            </w:r>
          </w:p>
        </w:tc>
        <w:tc>
          <w:tcPr>
            <w:tcW w:w="2266" w:type="dxa"/>
            <w:vAlign w:val="center"/>
          </w:tcPr>
          <w:p w14:paraId="6408CD7C">
            <w:pPr>
              <w:spacing w:line="600" w:lineRule="exact"/>
              <w:jc w:val="center"/>
              <w:rPr>
                <w:rFonts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瓶体</w:t>
            </w:r>
          </w:p>
        </w:tc>
        <w:tc>
          <w:tcPr>
            <w:tcW w:w="1852" w:type="dxa"/>
            <w:vAlign w:val="center"/>
          </w:tcPr>
          <w:p w14:paraId="34586DBD">
            <w:pPr>
              <w:spacing w:line="600" w:lineRule="exact"/>
              <w:jc w:val="center"/>
              <w:rPr>
                <w:rFonts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爆破性能</w:t>
            </w:r>
          </w:p>
        </w:tc>
        <w:tc>
          <w:tcPr>
            <w:tcW w:w="1723" w:type="dxa"/>
            <w:vMerge w:val="restart"/>
            <w:vAlign w:val="center"/>
          </w:tcPr>
          <w:p w14:paraId="61647371">
            <w:pPr>
              <w:spacing w:line="600" w:lineRule="exact"/>
              <w:jc w:val="center"/>
              <w:rPr>
                <w:rFonts w:ascii="仿宋_GB2312" w:hAnsi="仿宋_GB2312" w:eastAsia="仿宋_GB2312" w:cs="仿宋_GB2312"/>
                <w:sz w:val="24"/>
                <w:szCs w:val="28"/>
              </w:rPr>
            </w:pPr>
            <w:r>
              <w:rPr>
                <w:rFonts w:hint="eastAsia" w:ascii="仿宋_GB2312" w:hAnsi="仿宋_GB2312" w:eastAsia="仿宋_GB2312" w:cs="仿宋_GB2312"/>
                <w:sz w:val="24"/>
                <w:szCs w:val="28"/>
              </w:rPr>
              <w:t>GB 4351-2023</w:t>
            </w:r>
          </w:p>
        </w:tc>
        <w:tc>
          <w:tcPr>
            <w:tcW w:w="2117" w:type="dxa"/>
            <w:vAlign w:val="center"/>
          </w:tcPr>
          <w:p w14:paraId="7320303F">
            <w:pPr>
              <w:spacing w:line="600" w:lineRule="exact"/>
              <w:jc w:val="center"/>
              <w:rPr>
                <w:rFonts w:ascii="仿宋_GB2312" w:hAnsi="仿宋_GB2312" w:eastAsia="仿宋_GB2312" w:cs="仿宋_GB2312"/>
                <w:sz w:val="24"/>
                <w:szCs w:val="28"/>
              </w:rPr>
            </w:pPr>
            <w:r>
              <w:rPr>
                <w:rFonts w:hint="eastAsia" w:ascii="仿宋_GB2312" w:hAnsi="仿宋_GB2312" w:eastAsia="仿宋_GB2312" w:cs="仿宋_GB2312"/>
                <w:sz w:val="24"/>
                <w:szCs w:val="28"/>
              </w:rPr>
              <w:t>GB 4351-2023</w:t>
            </w:r>
          </w:p>
        </w:tc>
      </w:tr>
      <w:tr w14:paraId="2113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14:paraId="3CFAC371">
            <w:pPr>
              <w:spacing w:line="600" w:lineRule="exact"/>
              <w:jc w:val="center"/>
              <w:rPr>
                <w:rFonts w:ascii="仿宋_GB2312" w:hAnsi="仿宋_GB2312" w:eastAsia="仿宋_GB2312" w:cs="仿宋_GB2312"/>
                <w:sz w:val="24"/>
                <w:szCs w:val="28"/>
              </w:rPr>
            </w:pPr>
            <w:r>
              <w:rPr>
                <w:rFonts w:hint="eastAsia" w:ascii="仿宋_GB2312" w:hAnsi="仿宋_GB2312" w:eastAsia="仿宋_GB2312" w:cs="仿宋_GB2312"/>
                <w:sz w:val="24"/>
                <w:szCs w:val="28"/>
              </w:rPr>
              <w:t>2</w:t>
            </w:r>
          </w:p>
        </w:tc>
        <w:tc>
          <w:tcPr>
            <w:tcW w:w="2266" w:type="dxa"/>
            <w:vAlign w:val="center"/>
          </w:tcPr>
          <w:p w14:paraId="2F82FC6A">
            <w:pPr>
              <w:spacing w:line="600" w:lineRule="exact"/>
              <w:jc w:val="center"/>
              <w:rPr>
                <w:rFonts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灭火剂（干粉灭火剂）</w:t>
            </w:r>
          </w:p>
        </w:tc>
        <w:tc>
          <w:tcPr>
            <w:tcW w:w="1852" w:type="dxa"/>
            <w:vAlign w:val="center"/>
          </w:tcPr>
          <w:p w14:paraId="399D9E2B">
            <w:pPr>
              <w:spacing w:line="600" w:lineRule="exact"/>
              <w:jc w:val="center"/>
              <w:rPr>
                <w:rFonts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第一主要组分含量</w:t>
            </w:r>
          </w:p>
        </w:tc>
        <w:tc>
          <w:tcPr>
            <w:tcW w:w="1723" w:type="dxa"/>
            <w:vMerge w:val="continue"/>
            <w:vAlign w:val="center"/>
          </w:tcPr>
          <w:p w14:paraId="19D9419F">
            <w:pPr>
              <w:spacing w:line="600" w:lineRule="exact"/>
              <w:jc w:val="center"/>
              <w:rPr>
                <w:rFonts w:ascii="仿宋_GB2312" w:hAnsi="仿宋_GB2312" w:eastAsia="仿宋_GB2312" w:cs="仿宋_GB2312"/>
                <w:color w:val="000000"/>
                <w:sz w:val="24"/>
                <w:szCs w:val="28"/>
              </w:rPr>
            </w:pPr>
          </w:p>
        </w:tc>
        <w:tc>
          <w:tcPr>
            <w:tcW w:w="2117" w:type="dxa"/>
            <w:vAlign w:val="center"/>
          </w:tcPr>
          <w:p w14:paraId="2D26491C">
            <w:pPr>
              <w:spacing w:line="600" w:lineRule="exact"/>
              <w:jc w:val="center"/>
              <w:rPr>
                <w:rFonts w:ascii="仿宋_GB2312" w:hAnsi="仿宋_GB2312" w:eastAsia="仿宋_GB2312" w:cs="仿宋_GB2312"/>
                <w:sz w:val="24"/>
                <w:szCs w:val="28"/>
              </w:rPr>
            </w:pPr>
            <w:r>
              <w:rPr>
                <w:rFonts w:hint="eastAsia" w:ascii="仿宋_GB2312" w:hAnsi="仿宋_GB2312" w:eastAsia="仿宋_GB2312" w:cs="仿宋_GB2312"/>
                <w:color w:val="000000"/>
                <w:sz w:val="24"/>
                <w:szCs w:val="28"/>
              </w:rPr>
              <w:t>GB 4066-2017</w:t>
            </w:r>
          </w:p>
        </w:tc>
      </w:tr>
    </w:tbl>
    <w:p w14:paraId="0BB6CD48">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p>
    <w:p w14:paraId="1AC019CE">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p>
    <w:p w14:paraId="39AFB717">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p>
    <w:p w14:paraId="7E18E6D9">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p>
    <w:p w14:paraId="37047F7C">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检验方法包括相关产品标准及试验方法标准。</w:t>
      </w:r>
    </w:p>
    <w:p w14:paraId="0ACEE0F7">
      <w:pPr>
        <w:autoSpaceDE/>
        <w:autoSpaceDN/>
        <w:spacing w:line="600" w:lineRule="exact"/>
        <w:ind w:firstLine="640" w:firstLineChars="200"/>
        <w:jc w:val="both"/>
        <w:rPr>
          <w:rFonts w:ascii="方正黑体_GBK" w:hAnsi="方正仿宋_GBK" w:eastAsia="方正黑体_GBK" w:cs="方正仿宋_GBK"/>
          <w:sz w:val="32"/>
          <w:szCs w:val="32"/>
          <w:shd w:val="clear" w:color="auto" w:fill="FFFFFF"/>
        </w:rPr>
      </w:pPr>
      <w:r>
        <w:rPr>
          <w:rFonts w:hint="eastAsia" w:ascii="方正仿宋_GBK" w:hAnsi="方正仿宋_GBK" w:eastAsia="方正仿宋_GBK" w:cs="方正仿宋_GBK"/>
          <w:kern w:val="2"/>
          <w:sz w:val="32"/>
          <w:szCs w:val="32"/>
          <w:lang w:val="en-US" w:bidi="ar-SA"/>
        </w:rPr>
        <w:t>凡是注日期的文件，其随后所有的修改单（不包括勘误的内容）或修订版不适用于本细则。凡是不注日期的文件，其最新版本适用于本细则。</w:t>
      </w:r>
    </w:p>
    <w:p w14:paraId="2122AB7E">
      <w:pPr>
        <w:autoSpaceDE/>
        <w:autoSpaceDN/>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4.判定规则</w:t>
      </w:r>
    </w:p>
    <w:p w14:paraId="633CF668">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4.1</w:t>
      </w:r>
      <w:r>
        <w:rPr>
          <w:rFonts w:hint="eastAsia" w:ascii="方正仿宋_GBK" w:hAnsi="方正仿宋_GBK" w:eastAsia="方正仿宋_GBK" w:cs="方正仿宋_GBK"/>
          <w:sz w:val="32"/>
          <w:szCs w:val="32"/>
        </w:rPr>
        <w:t>依据标准</w:t>
      </w:r>
    </w:p>
    <w:p w14:paraId="7D21955B">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 4351-2023手提式灭火器</w:t>
      </w:r>
    </w:p>
    <w:p w14:paraId="75B1E700">
      <w:pPr>
        <w:snapToGrid w:val="0"/>
        <w:spacing w:line="600" w:lineRule="exact"/>
        <w:ind w:firstLine="640" w:firstLineChars="200"/>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GB 4066-2017 干粉灭火剂</w:t>
      </w:r>
    </w:p>
    <w:p w14:paraId="3F55EABE">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现行有效的企业标准、团体标准、地方标准及产品明示质量要求</w:t>
      </w:r>
    </w:p>
    <w:p w14:paraId="7F61D315">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4.2</w:t>
      </w:r>
      <w:r>
        <w:rPr>
          <w:rFonts w:hint="eastAsia" w:ascii="方正仿宋_GBK" w:hAnsi="方正仿宋_GBK" w:eastAsia="方正仿宋_GBK" w:cs="方正仿宋_GBK"/>
          <w:sz w:val="32"/>
          <w:szCs w:val="32"/>
        </w:rPr>
        <w:t>判定原则</w:t>
      </w:r>
    </w:p>
    <w:p w14:paraId="426A192E">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rPr>
        <w:t>经</w:t>
      </w:r>
      <w:r>
        <w:rPr>
          <w:rFonts w:hint="eastAsia" w:ascii="方正仿宋_GBK" w:hAnsi="方正仿宋_GBK" w:eastAsia="方正仿宋_GBK" w:cs="方正仿宋_GBK"/>
          <w:sz w:val="32"/>
          <w:szCs w:val="32"/>
          <w:lang w:val="en-US"/>
        </w:rPr>
        <w:t>抽样</w:t>
      </w:r>
      <w:r>
        <w:rPr>
          <w:rFonts w:hint="eastAsia" w:ascii="方正仿宋_GBK" w:hAnsi="方正仿宋_GBK" w:eastAsia="方正仿宋_GBK" w:cs="方正仿宋_GBK"/>
          <w:sz w:val="32"/>
          <w:szCs w:val="32"/>
        </w:rPr>
        <w:t>检验，检验项目全部合格，判定为</w:t>
      </w:r>
      <w:r>
        <w:rPr>
          <w:rFonts w:hint="eastAsia" w:ascii="方正仿宋_GBK" w:hAnsi="方正仿宋_GBK" w:eastAsia="方正仿宋_GBK" w:cs="方正仿宋_GBK"/>
          <w:sz w:val="32"/>
          <w:szCs w:val="32"/>
          <w:lang w:val="en-US"/>
        </w:rPr>
        <w:t>未发现不合格</w:t>
      </w:r>
      <w:r>
        <w:rPr>
          <w:rFonts w:hint="eastAsia" w:ascii="方正仿宋_GBK" w:hAnsi="方正仿宋_GBK" w:eastAsia="方正仿宋_GBK" w:cs="方正仿宋_GBK"/>
          <w:sz w:val="32"/>
          <w:szCs w:val="32"/>
        </w:rPr>
        <w:t>；检验项目中任一项或一项以上不合格，判定为不合格。</w:t>
      </w:r>
    </w:p>
    <w:p w14:paraId="1DB45E82">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若被检产品明示的质量要求高于本细则中检验项目依据的标准要求时，应按被检产品明示的质量要求判定。</w:t>
      </w:r>
    </w:p>
    <w:p w14:paraId="467E2090">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若被检产品明示的质量要求低于本细则中检验项目依据的强制性标准要求时，应按照强制性标准要求判定。</w:t>
      </w:r>
    </w:p>
    <w:p w14:paraId="0B13E379">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1FDF4D49">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若被检产品明示的质量要求缺少本细则中检验项目依据的强制性标准要求时，应按照强制性标准要求判定。</w:t>
      </w:r>
    </w:p>
    <w:p w14:paraId="52323F53">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若被检产品明示的质量要求缺少本细则中检验项目依据的推荐性标准要求时，该项目不参与判定，但应在检验报告备注中进行说明。</w:t>
      </w:r>
    </w:p>
    <w:p w14:paraId="61CD1969">
      <w:pPr>
        <w:autoSpaceDE/>
        <w:autoSpaceDN/>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5.异议处理</w:t>
      </w:r>
    </w:p>
    <w:p w14:paraId="69BB09E3">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5.1对监督抽查程序有异议的，由任务下达部门核查相关证据后维持或者撤销原检验结果。</w:t>
      </w:r>
    </w:p>
    <w:p w14:paraId="4609C4FA">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B09DE81">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5.3对样品信息有异议的，任务下达部门核查样品确认情况和生产企业提交证明材料后，维持或者撤销原检验结果。</w:t>
      </w:r>
    </w:p>
    <w:p w14:paraId="2E200EB1">
      <w:pPr>
        <w:pStyle w:val="6"/>
        <w:tabs>
          <w:tab w:val="left" w:pos="967"/>
          <w:tab w:val="left" w:pos="969"/>
        </w:tabs>
        <w:spacing w:line="600" w:lineRule="exact"/>
        <w:ind w:left="0" w:firstLine="640" w:firstLineChars="200"/>
        <w:rPr>
          <w:rFonts w:ascii="方正仿宋_GBK" w:hAnsi="方正仿宋_GBK" w:eastAsia="方正仿宋_GBK" w:cs="方正仿宋_GBK"/>
          <w:b w:val="0"/>
          <w:bCs w:val="0"/>
          <w:kern w:val="2"/>
          <w:sz w:val="32"/>
          <w:szCs w:val="3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Arial Unicode MS"/>
    <w:panose1 w:val="02000000000000000000"/>
    <w:charset w:val="86"/>
    <w:family w:val="auto"/>
    <w:pitch w:val="default"/>
    <w:sig w:usb0="00000000" w:usb1="00000000" w:usb2="00080016" w:usb3="00000000" w:csb0="00040001"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2000000000000000000"/>
    <w:charset w:val="86"/>
    <w:family w:val="auto"/>
    <w:pitch w:val="default"/>
    <w:sig w:usb0="00000000" w:usb1="00000000" w:usb2="00082016" w:usb3="00000000" w:csb0="00040001"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483C5">
    <w:pPr>
      <w:pStyle w:val="7"/>
      <w:spacing w:line="14" w:lineRule="auto"/>
      <w:rPr>
        <w:sz w:val="20"/>
      </w:rPr>
    </w:pPr>
    <w:r>
      <w:rPr>
        <w:sz w:val="20"/>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77162E4">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577162E4">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5NmEzYzZjM2VlYjhkZGIyZjc2ZDcxYWM4NjEyNjgifQ=="/>
  </w:docVars>
  <w:rsids>
    <w:rsidRoot w:val="00D74BB0"/>
    <w:rsid w:val="0000650C"/>
    <w:rsid w:val="0003266E"/>
    <w:rsid w:val="00042E52"/>
    <w:rsid w:val="00075D2C"/>
    <w:rsid w:val="000831B2"/>
    <w:rsid w:val="00087661"/>
    <w:rsid w:val="000E438C"/>
    <w:rsid w:val="000F1035"/>
    <w:rsid w:val="00114B79"/>
    <w:rsid w:val="00164799"/>
    <w:rsid w:val="00164C00"/>
    <w:rsid w:val="001760BA"/>
    <w:rsid w:val="001C333A"/>
    <w:rsid w:val="001C67A8"/>
    <w:rsid w:val="002851E4"/>
    <w:rsid w:val="002B6731"/>
    <w:rsid w:val="002D7400"/>
    <w:rsid w:val="003031BA"/>
    <w:rsid w:val="003175BB"/>
    <w:rsid w:val="00363384"/>
    <w:rsid w:val="0036591F"/>
    <w:rsid w:val="00395BCD"/>
    <w:rsid w:val="003C321B"/>
    <w:rsid w:val="003D4C42"/>
    <w:rsid w:val="004058B1"/>
    <w:rsid w:val="00432A23"/>
    <w:rsid w:val="00435ACF"/>
    <w:rsid w:val="004626D2"/>
    <w:rsid w:val="00477D1A"/>
    <w:rsid w:val="0048122B"/>
    <w:rsid w:val="00491441"/>
    <w:rsid w:val="00493196"/>
    <w:rsid w:val="004B1147"/>
    <w:rsid w:val="004B1CE9"/>
    <w:rsid w:val="004D1271"/>
    <w:rsid w:val="00533F57"/>
    <w:rsid w:val="00537E82"/>
    <w:rsid w:val="00557205"/>
    <w:rsid w:val="005833D3"/>
    <w:rsid w:val="005E4427"/>
    <w:rsid w:val="00611AA6"/>
    <w:rsid w:val="00611E80"/>
    <w:rsid w:val="00614648"/>
    <w:rsid w:val="00621C5C"/>
    <w:rsid w:val="00665DE6"/>
    <w:rsid w:val="00684D22"/>
    <w:rsid w:val="006B3A82"/>
    <w:rsid w:val="007312EA"/>
    <w:rsid w:val="0074736E"/>
    <w:rsid w:val="007522DE"/>
    <w:rsid w:val="007637F5"/>
    <w:rsid w:val="00767619"/>
    <w:rsid w:val="00775579"/>
    <w:rsid w:val="008225CF"/>
    <w:rsid w:val="008A359A"/>
    <w:rsid w:val="008F390B"/>
    <w:rsid w:val="009034C0"/>
    <w:rsid w:val="00903E92"/>
    <w:rsid w:val="00912CC4"/>
    <w:rsid w:val="00923C62"/>
    <w:rsid w:val="009249DD"/>
    <w:rsid w:val="009555B3"/>
    <w:rsid w:val="0098052D"/>
    <w:rsid w:val="00A30987"/>
    <w:rsid w:val="00A60356"/>
    <w:rsid w:val="00A61ABB"/>
    <w:rsid w:val="00AA3B6D"/>
    <w:rsid w:val="00AC0C0B"/>
    <w:rsid w:val="00AC3FED"/>
    <w:rsid w:val="00AE2A65"/>
    <w:rsid w:val="00AF6DC8"/>
    <w:rsid w:val="00B07BCE"/>
    <w:rsid w:val="00B52AAF"/>
    <w:rsid w:val="00B913AD"/>
    <w:rsid w:val="00B95581"/>
    <w:rsid w:val="00BC446E"/>
    <w:rsid w:val="00BD18CC"/>
    <w:rsid w:val="00C16AD7"/>
    <w:rsid w:val="00C201F5"/>
    <w:rsid w:val="00C53ED0"/>
    <w:rsid w:val="00C9766F"/>
    <w:rsid w:val="00CC1D12"/>
    <w:rsid w:val="00CF7936"/>
    <w:rsid w:val="00D74BB0"/>
    <w:rsid w:val="00DB33BE"/>
    <w:rsid w:val="00DD4AF9"/>
    <w:rsid w:val="00DE70E1"/>
    <w:rsid w:val="00E02AF4"/>
    <w:rsid w:val="00E17597"/>
    <w:rsid w:val="00E90284"/>
    <w:rsid w:val="00ED4951"/>
    <w:rsid w:val="00F51DE5"/>
    <w:rsid w:val="00F5409D"/>
    <w:rsid w:val="00F67193"/>
    <w:rsid w:val="00FB0EB0"/>
    <w:rsid w:val="00FC734D"/>
    <w:rsid w:val="00FD14E7"/>
    <w:rsid w:val="0B007BD2"/>
    <w:rsid w:val="1137070D"/>
    <w:rsid w:val="117D5540"/>
    <w:rsid w:val="14BD0584"/>
    <w:rsid w:val="194656E8"/>
    <w:rsid w:val="1A3F5BA2"/>
    <w:rsid w:val="1AD867BE"/>
    <w:rsid w:val="1F9C6A9E"/>
    <w:rsid w:val="37F95C4C"/>
    <w:rsid w:val="39FA77C8"/>
    <w:rsid w:val="3E633181"/>
    <w:rsid w:val="3FFFCC56"/>
    <w:rsid w:val="4C753AE6"/>
    <w:rsid w:val="4F174970"/>
    <w:rsid w:val="50A43D89"/>
    <w:rsid w:val="556FB086"/>
    <w:rsid w:val="5B676E76"/>
    <w:rsid w:val="5E631DAD"/>
    <w:rsid w:val="6487172D"/>
    <w:rsid w:val="68EE2392"/>
    <w:rsid w:val="6A7FF112"/>
    <w:rsid w:val="6DEF9193"/>
    <w:rsid w:val="6F4FDBF0"/>
    <w:rsid w:val="77FD88E1"/>
    <w:rsid w:val="79FF5450"/>
    <w:rsid w:val="BDEE00AA"/>
    <w:rsid w:val="D4FA6AFC"/>
    <w:rsid w:val="D7FD73D0"/>
    <w:rsid w:val="D9EE4008"/>
    <w:rsid w:val="DF8D3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ind w:left="2121" w:right="2138"/>
      <w:jc w:val="center"/>
      <w:outlineLvl w:val="0"/>
    </w:pPr>
    <w:rPr>
      <w:b/>
      <w:bCs/>
      <w:sz w:val="32"/>
      <w:szCs w:val="32"/>
    </w:rPr>
  </w:style>
  <w:style w:type="paragraph" w:styleId="4">
    <w:name w:val="heading 2"/>
    <w:basedOn w:val="1"/>
    <w:next w:val="1"/>
    <w:qFormat/>
    <w:uiPriority w:val="1"/>
    <w:pPr>
      <w:ind w:left="789"/>
      <w:outlineLvl w:val="1"/>
    </w:pPr>
    <w:rPr>
      <w:b/>
      <w:bCs/>
      <w:sz w:val="28"/>
      <w:szCs w:val="28"/>
    </w:rPr>
  </w:style>
  <w:style w:type="paragraph" w:styleId="5">
    <w:name w:val="heading 3"/>
    <w:basedOn w:val="1"/>
    <w:next w:val="1"/>
    <w:qFormat/>
    <w:uiPriority w:val="1"/>
    <w:pPr>
      <w:spacing w:before="186"/>
      <w:ind w:left="227"/>
      <w:outlineLvl w:val="2"/>
    </w:pPr>
    <w:rPr>
      <w:sz w:val="28"/>
      <w:szCs w:val="28"/>
    </w:rPr>
  </w:style>
  <w:style w:type="paragraph" w:styleId="6">
    <w:name w:val="heading 4"/>
    <w:basedOn w:val="1"/>
    <w:next w:val="1"/>
    <w:qFormat/>
    <w:uiPriority w:val="1"/>
    <w:pPr>
      <w:ind w:left="862"/>
      <w:outlineLvl w:val="3"/>
    </w:pPr>
    <w:rPr>
      <w:b/>
      <w:bCs/>
      <w:sz w:val="21"/>
      <w:szCs w:val="21"/>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customStyle="1" w:styleId="2">
    <w:name w:val="列出段落1"/>
    <w:basedOn w:val="1"/>
    <w:qFormat/>
    <w:uiPriority w:val="1"/>
    <w:pPr>
      <w:ind w:left="227" w:firstLine="420"/>
    </w:pPr>
  </w:style>
  <w:style w:type="paragraph" w:styleId="7">
    <w:name w:val="Body Text"/>
    <w:basedOn w:val="1"/>
    <w:link w:val="19"/>
    <w:qFormat/>
    <w:uiPriority w:val="1"/>
    <w:rPr>
      <w:sz w:val="21"/>
      <w:szCs w:val="21"/>
    </w:rPr>
  </w:style>
  <w:style w:type="paragraph" w:styleId="8">
    <w:name w:val="Balloon Text"/>
    <w:basedOn w:val="1"/>
    <w:link w:val="16"/>
    <w:unhideWhenUsed/>
    <w:qFormat/>
    <w:uiPriority w:val="99"/>
    <w:rPr>
      <w:sz w:val="18"/>
      <w:szCs w:val="18"/>
    </w:rPr>
  </w:style>
  <w:style w:type="paragraph" w:styleId="9">
    <w:name w:val="footer"/>
    <w:basedOn w:val="1"/>
    <w:link w:val="18"/>
    <w:unhideWhenUsed/>
    <w:qFormat/>
    <w:uiPriority w:val="99"/>
    <w:pPr>
      <w:tabs>
        <w:tab w:val="center" w:pos="4153"/>
        <w:tab w:val="right" w:pos="8306"/>
      </w:tabs>
      <w:snapToGrid w:val="0"/>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Normal"/>
    <w:unhideWhenUsed/>
    <w:qFormat/>
    <w:uiPriority w:val="2"/>
    <w:tblPr>
      <w:tblCellMar>
        <w:top w:w="0" w:type="dxa"/>
        <w:left w:w="0" w:type="dxa"/>
        <w:bottom w:w="0" w:type="dxa"/>
        <w:right w:w="0" w:type="dxa"/>
      </w:tblCellMar>
    </w:tblPr>
  </w:style>
  <w:style w:type="paragraph" w:customStyle="1" w:styleId="15">
    <w:name w:val="Table Paragraph"/>
    <w:basedOn w:val="1"/>
    <w:qFormat/>
    <w:uiPriority w:val="1"/>
  </w:style>
  <w:style w:type="character" w:customStyle="1" w:styleId="16">
    <w:name w:val="批注框文本 字符"/>
    <w:basedOn w:val="13"/>
    <w:link w:val="8"/>
    <w:semiHidden/>
    <w:qFormat/>
    <w:uiPriority w:val="99"/>
    <w:rPr>
      <w:rFonts w:ascii="宋体" w:hAnsi="宋体" w:eastAsia="宋体" w:cs="宋体"/>
      <w:sz w:val="18"/>
      <w:szCs w:val="18"/>
      <w:lang w:val="zh-CN" w:eastAsia="zh-CN" w:bidi="zh-CN"/>
    </w:rPr>
  </w:style>
  <w:style w:type="character" w:customStyle="1" w:styleId="17">
    <w:name w:val="页眉 字符"/>
    <w:basedOn w:val="13"/>
    <w:link w:val="10"/>
    <w:qFormat/>
    <w:uiPriority w:val="99"/>
    <w:rPr>
      <w:rFonts w:ascii="宋体" w:hAnsi="宋体" w:eastAsia="宋体" w:cs="宋体"/>
      <w:sz w:val="18"/>
      <w:szCs w:val="18"/>
      <w:lang w:val="zh-CN" w:eastAsia="zh-CN" w:bidi="zh-CN"/>
    </w:rPr>
  </w:style>
  <w:style w:type="character" w:customStyle="1" w:styleId="18">
    <w:name w:val="页脚 字符"/>
    <w:basedOn w:val="13"/>
    <w:link w:val="9"/>
    <w:qFormat/>
    <w:uiPriority w:val="99"/>
    <w:rPr>
      <w:rFonts w:ascii="宋体" w:hAnsi="宋体" w:eastAsia="宋体" w:cs="宋体"/>
      <w:sz w:val="18"/>
      <w:szCs w:val="18"/>
      <w:lang w:val="zh-CN" w:eastAsia="zh-CN" w:bidi="zh-CN"/>
    </w:rPr>
  </w:style>
  <w:style w:type="character" w:customStyle="1" w:styleId="19">
    <w:name w:val="正文文本 字符"/>
    <w:basedOn w:val="13"/>
    <w:link w:val="7"/>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978</Words>
  <Characters>1041</Characters>
  <Lines>7</Lines>
  <Paragraphs>2</Paragraphs>
  <TotalTime>1</TotalTime>
  <ScaleCrop>false</ScaleCrop>
  <LinksUpToDate>false</LinksUpToDate>
  <CharactersWithSpaces>1048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2020-08-01T22:43:00Z</dcterms:created>
  <dc:creator>合肥质检院，程浩</dc:creator>
  <cp:lastModifiedBy>Miss koala</cp:lastModifiedBy>
  <dcterms:modified xsi:type="dcterms:W3CDTF">2025-07-01T09:45:48Z</dcterms:modified>
  <dc:title>安全帽产品质量监督抽查实施细则</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2052-12.1.0.20305</vt:lpwstr>
  </property>
  <property fmtid="{D5CDD505-2E9C-101B-9397-08002B2CF9AE}" pid="6" name="ICV">
    <vt:lpwstr>3C605DC44B8162BB96ECA6671E687189_43</vt:lpwstr>
  </property>
  <property fmtid="{D5CDD505-2E9C-101B-9397-08002B2CF9AE}" pid="7" name="KSOTemplateDocerSaveRecord">
    <vt:lpwstr>eyJoZGlkIjoiMDczYTlkM2FkZDU1MGE1YzM1NzVlMDlkZTJjYzY3YjAiLCJ1c2VySWQiOiIyNjI2OTk0OTcifQ==</vt:lpwstr>
  </property>
</Properties>
</file>